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FD" w:rsidRPr="00F6271F" w:rsidRDefault="002F6BFE" w:rsidP="00F627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Могут</w:t>
      </w:r>
      <w:r w:rsid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ли</w:t>
      </w:r>
      <w:r w:rsid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собственники</w:t>
      </w:r>
      <w:r w:rsid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МКД</w:t>
      </w:r>
      <w:r w:rsid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выбрать</w:t>
      </w:r>
      <w:r w:rsid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подрядчика</w:t>
      </w:r>
      <w:r w:rsid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для</w:t>
      </w:r>
      <w:r w:rsid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капремонта?</w:t>
      </w:r>
    </w:p>
    <w:p w:rsidR="002F6BFE" w:rsidRPr="00F6271F" w:rsidRDefault="002F6BFE" w:rsidP="00F627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вопрос:</w:t>
      </w:r>
    </w:p>
    <w:p w:rsidR="00F6271F" w:rsidRPr="00F6271F" w:rsidRDefault="00F6271F" w:rsidP="00F6271F">
      <w:pPr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жильцы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многоквартирного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дома,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приняв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производстве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капремонта,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определив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стоимость,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организацию-подрядчика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работ?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любом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капремонта: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счете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оператора,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спецсчете.</w:t>
      </w:r>
    </w:p>
    <w:p w:rsid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Сообщаю: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напрямую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многоквартирного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расходование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подробно:</w:t>
      </w:r>
    </w:p>
    <w:p w:rsidR="00F6271F" w:rsidRDefault="00F6271F" w:rsidP="00F6271F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271F" w:rsidRPr="00F6271F" w:rsidRDefault="00F6271F" w:rsidP="00F6271F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фонда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ремонта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специальном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счете.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7" w:history="1">
        <w:r w:rsidRPr="00F6271F">
          <w:rPr>
            <w:rFonts w:ascii="Times New Roman" w:eastAsia="Times New Roman" w:hAnsi="Times New Roman" w:cs="Times New Roman"/>
            <w:color w:val="056DA4"/>
            <w:sz w:val="24"/>
            <w:szCs w:val="24"/>
            <w:u w:val="single"/>
            <w:lang w:eastAsia="ru-RU"/>
          </w:rPr>
          <w:t>собственники</w:t>
        </w:r>
        <w:r>
          <w:rPr>
            <w:rFonts w:ascii="Times New Roman" w:eastAsia="Times New Roman" w:hAnsi="Times New Roman" w:cs="Times New Roman"/>
            <w:color w:val="056DA4"/>
            <w:sz w:val="24"/>
            <w:szCs w:val="24"/>
            <w:u w:val="single"/>
            <w:lang w:eastAsia="ru-RU"/>
          </w:rPr>
          <w:t xml:space="preserve"> </w:t>
        </w:r>
        <w:r w:rsidRPr="00F6271F">
          <w:rPr>
            <w:rFonts w:ascii="Times New Roman" w:eastAsia="Times New Roman" w:hAnsi="Times New Roman" w:cs="Times New Roman"/>
            <w:color w:val="056DA4"/>
            <w:sz w:val="24"/>
            <w:szCs w:val="24"/>
            <w:u w:val="single"/>
            <w:lang w:eastAsia="ru-RU"/>
          </w:rPr>
          <w:t>МКД</w:t>
        </w:r>
      </w:hyperlink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подтверждается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Конституционного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10-П,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«порядок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многоквартирном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подрядчиков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(исполнителей),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доме».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(жилищный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кооператив,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товарищество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жилья,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посредника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(ст.161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надлежащее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«технического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отметить,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«техническим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заказчиком»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специализированная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Градостроительного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РФ).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заключаться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«технического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несоответствия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качеству,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(Постановление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Арбитражного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Апелляционного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08.08.2016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А41-12104/2016,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Арбитражного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09.06.2016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А41-12100/2016).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войдут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жилья,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несовпадении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последних).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членство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репутация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выгодная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заблуждение,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считается,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компании,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полагать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жилья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делегировали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компании.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надлежаще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(Письмо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Минстроя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08.06.2016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17636-ЕС/04,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Арбитражного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19.12.2016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А40-208019/2016).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многоквартирном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стоимости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гарантийном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многоквартирном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компетенцией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отметить,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расходование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усложняет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предпочтительна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авансовая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расчетов.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напрямую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жилья,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подрядчиком,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основе</w:t>
      </w:r>
    </w:p>
    <w:p w:rsidR="00F6271F" w:rsidRDefault="00F6271F" w:rsidP="00F6271F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271F" w:rsidRPr="00F6271F" w:rsidRDefault="00F6271F" w:rsidP="00F6271F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фонда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ремонта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оператора.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сроках,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01.07.2016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аукциона.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процедуру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инспекция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(Мосжилинспекция).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1/3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оператора.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Остальные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это: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многоквартирных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рованных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организаций;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популяризации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наследия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(памятников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аукционах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многоквартирных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наследия,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наследия;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жилищно-коммунального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хозяйства,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Федерации;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жилья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заключаются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неисполнения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ненадлежащего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(статья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РФ).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ненадлежащее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субсидиарную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собственниками.</w:t>
      </w:r>
    </w:p>
    <w:p w:rsidR="00F6271F" w:rsidRDefault="00F6271F" w:rsidP="00F6271F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271F" w:rsidRPr="00F6271F" w:rsidRDefault="00F6271F" w:rsidP="00F6271F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Резюме: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напрямую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жилья.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допустима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конкретного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подрядчика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Единственное,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членство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ункт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"б"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372-ФЗ).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членство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tgtFrame="_blank" w:history="1">
        <w:r w:rsidRPr="00F6271F">
          <w:rPr>
            <w:rFonts w:ascii="Times New Roman" w:eastAsia="Times New Roman" w:hAnsi="Times New Roman" w:cs="Times New Roman"/>
            <w:color w:val="056DA4"/>
            <w:sz w:val="24"/>
            <w:szCs w:val="24"/>
            <w:u w:val="single"/>
            <w:lang w:eastAsia="ru-RU"/>
          </w:rPr>
          <w:t>сайте</w:t>
        </w:r>
        <w:r>
          <w:rPr>
            <w:rFonts w:ascii="Times New Roman" w:eastAsia="Times New Roman" w:hAnsi="Times New Roman" w:cs="Times New Roman"/>
            <w:color w:val="056DA4"/>
            <w:sz w:val="24"/>
            <w:szCs w:val="24"/>
            <w:u w:val="single"/>
            <w:lang w:eastAsia="ru-RU"/>
          </w:rPr>
          <w:t xml:space="preserve"> </w:t>
        </w:r>
        <w:r w:rsidRPr="00F6271F">
          <w:rPr>
            <w:rFonts w:ascii="Times New Roman" w:eastAsia="Times New Roman" w:hAnsi="Times New Roman" w:cs="Times New Roman"/>
            <w:color w:val="056DA4"/>
            <w:sz w:val="24"/>
            <w:szCs w:val="24"/>
            <w:u w:val="single"/>
            <w:lang w:eastAsia="ru-RU"/>
          </w:rPr>
          <w:t>Ростехнадзора</w:t>
        </w:r>
      </w:hyperlink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6271F" w:rsidRPr="00F6271F" w:rsidRDefault="00F6271F" w:rsidP="00F627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подрядной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2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аукциона.</w:t>
      </w:r>
    </w:p>
    <w:p w:rsidR="002F6BFE" w:rsidRPr="00F6271F" w:rsidRDefault="002F6BFE" w:rsidP="00F627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F6BFE" w:rsidRPr="00F6271F" w:rsidSect="003D0011">
      <w:footerReference w:type="default" r:id="rId9"/>
      <w:pgSz w:w="11906" w:h="16838"/>
      <w:pgMar w:top="568" w:right="566" w:bottom="851" w:left="1276" w:header="708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4B" w:rsidRDefault="00F5564B" w:rsidP="00557EF9">
      <w:pPr>
        <w:spacing w:after="0" w:line="240" w:lineRule="auto"/>
      </w:pPr>
      <w:r>
        <w:separator/>
      </w:r>
    </w:p>
  </w:endnote>
  <w:endnote w:type="continuationSeparator" w:id="1">
    <w:p w:rsidR="00F5564B" w:rsidRDefault="00F5564B" w:rsidP="0055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29049"/>
      <w:docPartObj>
        <w:docPartGallery w:val="Page Numbers (Bottom of Page)"/>
        <w:docPartUnique/>
      </w:docPartObj>
    </w:sdtPr>
    <w:sdtContent>
      <w:p w:rsidR="00557EF9" w:rsidRDefault="00232311">
        <w:pPr>
          <w:pStyle w:val="a5"/>
          <w:jc w:val="center"/>
        </w:pPr>
        <w:r>
          <w:fldChar w:fldCharType="begin"/>
        </w:r>
        <w:r w:rsidR="00557EF9">
          <w:instrText>PAGE   \* MERGEFORMAT</w:instrText>
        </w:r>
        <w:r>
          <w:fldChar w:fldCharType="separate"/>
        </w:r>
        <w:r w:rsidR="00F6271F">
          <w:rPr>
            <w:noProof/>
          </w:rPr>
          <w:t>2</w:t>
        </w:r>
        <w:r>
          <w:fldChar w:fldCharType="end"/>
        </w:r>
      </w:p>
    </w:sdtContent>
  </w:sdt>
  <w:p w:rsidR="00557EF9" w:rsidRDefault="00557E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4B" w:rsidRDefault="00F5564B" w:rsidP="00557EF9">
      <w:pPr>
        <w:spacing w:after="0" w:line="240" w:lineRule="auto"/>
      </w:pPr>
      <w:r>
        <w:separator/>
      </w:r>
    </w:p>
  </w:footnote>
  <w:footnote w:type="continuationSeparator" w:id="1">
    <w:p w:rsidR="00F5564B" w:rsidRDefault="00F5564B" w:rsidP="0055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F66"/>
    <w:multiLevelType w:val="multilevel"/>
    <w:tmpl w:val="5AFE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726D0"/>
    <w:multiLevelType w:val="multilevel"/>
    <w:tmpl w:val="4B4C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C4667"/>
    <w:multiLevelType w:val="multilevel"/>
    <w:tmpl w:val="4730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EF9"/>
    <w:rsid w:val="000C01D4"/>
    <w:rsid w:val="001A38EB"/>
    <w:rsid w:val="00232311"/>
    <w:rsid w:val="002F6BFE"/>
    <w:rsid w:val="00305CB3"/>
    <w:rsid w:val="00395C5D"/>
    <w:rsid w:val="003D0011"/>
    <w:rsid w:val="003F6DF2"/>
    <w:rsid w:val="00410B0F"/>
    <w:rsid w:val="00436D4B"/>
    <w:rsid w:val="00485083"/>
    <w:rsid w:val="004C7A5B"/>
    <w:rsid w:val="004D3E4B"/>
    <w:rsid w:val="00557EF9"/>
    <w:rsid w:val="00841338"/>
    <w:rsid w:val="008F51A3"/>
    <w:rsid w:val="009C5EFD"/>
    <w:rsid w:val="00BB2403"/>
    <w:rsid w:val="00F5564B"/>
    <w:rsid w:val="00F6271F"/>
    <w:rsid w:val="00FD600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EF9"/>
  </w:style>
  <w:style w:type="paragraph" w:styleId="a5">
    <w:name w:val="footer"/>
    <w:basedOn w:val="a"/>
    <w:link w:val="a6"/>
    <w:uiPriority w:val="99"/>
    <w:unhideWhenUsed/>
    <w:rsid w:val="0055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0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3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7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80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08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3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520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29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801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5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304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1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105134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643940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865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9803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5221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13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3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22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97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05535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0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73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9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91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6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40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5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38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92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88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691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16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42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6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66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16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3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6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3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53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023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3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.gos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4free.ru/services-for-citizens/pomoshh-yurista-zhk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2023-01-16T06:55:00Z</dcterms:created>
  <dcterms:modified xsi:type="dcterms:W3CDTF">2023-01-16T07:23:00Z</dcterms:modified>
</cp:coreProperties>
</file>